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0511B" w14:textId="3A417176" w:rsidR="00791B11" w:rsidRDefault="00791B11" w:rsidP="00791B11">
      <w:pPr>
        <w:jc w:val="center"/>
        <w:rPr>
          <w:rFonts w:ascii="Times New Roman" w:hAnsi="Times New Roman" w:cs="Times New Roman"/>
          <w:sz w:val="24"/>
          <w:szCs w:val="24"/>
        </w:rPr>
      </w:pPr>
      <w:bookmarkStart w:id="0" w:name="_GoBack"/>
      <w:bookmarkEnd w:id="0"/>
    </w:p>
    <w:p w14:paraId="7BAA8CC9" w14:textId="58E801D0" w:rsidR="00791B11" w:rsidRDefault="00791B11" w:rsidP="00791B11">
      <w:pPr>
        <w:jc w:val="center"/>
        <w:rPr>
          <w:rFonts w:ascii="Times New Roman" w:hAnsi="Times New Roman" w:cs="Times New Roman"/>
          <w:sz w:val="24"/>
          <w:szCs w:val="24"/>
        </w:rPr>
      </w:pPr>
    </w:p>
    <w:p w14:paraId="579A8012" w14:textId="5D3027E0" w:rsidR="00791B11" w:rsidRDefault="00791B11" w:rsidP="00791B11">
      <w:pPr>
        <w:jc w:val="center"/>
        <w:rPr>
          <w:rFonts w:ascii="Times New Roman" w:hAnsi="Times New Roman" w:cs="Times New Roman"/>
          <w:sz w:val="24"/>
          <w:szCs w:val="24"/>
        </w:rPr>
      </w:pPr>
    </w:p>
    <w:p w14:paraId="358956CA" w14:textId="77777777" w:rsidR="00056406" w:rsidRDefault="00056406" w:rsidP="00791B11">
      <w:pPr>
        <w:spacing w:line="480" w:lineRule="auto"/>
        <w:jc w:val="center"/>
        <w:rPr>
          <w:rFonts w:ascii="Times New Roman" w:hAnsi="Times New Roman" w:cs="Times New Roman"/>
          <w:sz w:val="24"/>
          <w:szCs w:val="24"/>
        </w:rPr>
      </w:pPr>
    </w:p>
    <w:p w14:paraId="1B76A773" w14:textId="7DD6D3D4" w:rsidR="00791B11" w:rsidRDefault="00791B11" w:rsidP="00791B11">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60820FEE" w14:textId="683CE8E9" w:rsidR="00791B11" w:rsidRDefault="00791B11" w:rsidP="00791B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3C027E9" w14:textId="08CC6A1E" w:rsidR="00791B11" w:rsidRDefault="00791B11" w:rsidP="00791B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96272FB" w14:textId="154F9E60" w:rsidR="00791B11" w:rsidRDefault="00791B11" w:rsidP="00903EBE">
      <w:pPr>
        <w:jc w:val="center"/>
        <w:rPr>
          <w:rFonts w:ascii="Times New Roman" w:hAnsi="Times New Roman" w:cs="Times New Roman"/>
          <w:sz w:val="24"/>
          <w:szCs w:val="24"/>
        </w:rPr>
      </w:pPr>
      <w:r>
        <w:rPr>
          <w:rFonts w:ascii="Times New Roman" w:hAnsi="Times New Roman" w:cs="Times New Roman"/>
          <w:sz w:val="24"/>
          <w:szCs w:val="24"/>
        </w:rPr>
        <w:br w:type="page"/>
      </w:r>
    </w:p>
    <w:p w14:paraId="5D4A66C8" w14:textId="4CBC465D" w:rsidR="00A03C00" w:rsidRDefault="00A03C00" w:rsidP="00A03C00">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5D6DAB21" w14:textId="2A7B7529" w:rsidR="00903EBE" w:rsidRDefault="00350579" w:rsidP="00A03C0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660F56">
        <w:rPr>
          <w:rFonts w:ascii="Times New Roman" w:hAnsi="Times New Roman" w:cs="Times New Roman"/>
          <w:sz w:val="24"/>
          <w:szCs w:val="24"/>
        </w:rPr>
        <w:t>study</w:t>
      </w:r>
      <w:r>
        <w:rPr>
          <w:rFonts w:ascii="Times New Roman" w:hAnsi="Times New Roman" w:cs="Times New Roman"/>
          <w:sz w:val="24"/>
          <w:szCs w:val="24"/>
        </w:rPr>
        <w:t xml:space="preserve"> examin</w:t>
      </w:r>
      <w:r w:rsidR="00660F56">
        <w:rPr>
          <w:rFonts w:ascii="Times New Roman" w:hAnsi="Times New Roman" w:cs="Times New Roman"/>
          <w:sz w:val="24"/>
          <w:szCs w:val="24"/>
        </w:rPr>
        <w:t>e</w:t>
      </w:r>
      <w:r>
        <w:rPr>
          <w:rFonts w:ascii="Times New Roman" w:hAnsi="Times New Roman" w:cs="Times New Roman"/>
          <w:sz w:val="24"/>
          <w:szCs w:val="24"/>
        </w:rPr>
        <w:t xml:space="preserve">d the effects of short-term food deprivation on two </w:t>
      </w:r>
      <w:r w:rsidR="00660F56">
        <w:rPr>
          <w:rFonts w:ascii="Times New Roman" w:hAnsi="Times New Roman" w:cs="Times New Roman"/>
          <w:sz w:val="24"/>
          <w:szCs w:val="24"/>
        </w:rPr>
        <w:t>cognitive</w:t>
      </w:r>
      <w:r>
        <w:rPr>
          <w:rFonts w:ascii="Times New Roman" w:hAnsi="Times New Roman" w:cs="Times New Roman"/>
          <w:sz w:val="24"/>
          <w:szCs w:val="24"/>
        </w:rPr>
        <w:t xml:space="preserve"> abilities-concentration and perseverance</w:t>
      </w:r>
      <w:r w:rsidR="002E7B93">
        <w:rPr>
          <w:rFonts w:ascii="Times New Roman" w:hAnsi="Times New Roman" w:cs="Times New Roman"/>
          <w:sz w:val="24"/>
          <w:szCs w:val="24"/>
        </w:rPr>
        <w:t xml:space="preserve">. I collected my data through testing different undergraduate students on both a concentration task and a perseverance task after one of </w:t>
      </w:r>
      <w:r w:rsidR="00660F56">
        <w:rPr>
          <w:rFonts w:ascii="Times New Roman" w:hAnsi="Times New Roman" w:cs="Times New Roman"/>
          <w:sz w:val="24"/>
          <w:szCs w:val="24"/>
        </w:rPr>
        <w:t>their</w:t>
      </w:r>
      <w:r w:rsidR="002E7B93">
        <w:rPr>
          <w:rFonts w:ascii="Times New Roman" w:hAnsi="Times New Roman" w:cs="Times New Roman"/>
          <w:sz w:val="24"/>
          <w:szCs w:val="24"/>
        </w:rPr>
        <w:t xml:space="preserve"> levels if food deprivation. I predicted that food deprivation would impair both</w:t>
      </w:r>
      <w:r w:rsidR="00660F56">
        <w:rPr>
          <w:rFonts w:ascii="Times New Roman" w:hAnsi="Times New Roman" w:cs="Times New Roman"/>
          <w:sz w:val="24"/>
          <w:szCs w:val="24"/>
        </w:rPr>
        <w:t xml:space="preserve"> concentration scores and perseverance time. Food deprivation had no significant effect on concentration scores, which is consistent with recent research on the effects of food deprivation</w:t>
      </w:r>
      <w:r w:rsidR="00495139">
        <w:rPr>
          <w:rFonts w:ascii="Times New Roman" w:hAnsi="Times New Roman" w:cs="Times New Roman"/>
          <w:sz w:val="24"/>
          <w:szCs w:val="24"/>
        </w:rPr>
        <w:t xml:space="preserve"> (Green et al., 1995; Green et al., 1997)</w:t>
      </w:r>
      <w:r w:rsidR="00992DBD">
        <w:rPr>
          <w:rFonts w:ascii="Times New Roman" w:hAnsi="Times New Roman" w:cs="Times New Roman"/>
          <w:sz w:val="24"/>
          <w:szCs w:val="24"/>
        </w:rPr>
        <w:t>.</w:t>
      </w:r>
    </w:p>
    <w:p w14:paraId="29208AD8" w14:textId="3B1773F7" w:rsidR="00FD6601" w:rsidRDefault="00992DBD" w:rsidP="0090167D">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03EBE">
        <w:rPr>
          <w:rFonts w:ascii="Times New Roman" w:hAnsi="Times New Roman" w:cs="Times New Roman"/>
          <w:sz w:val="24"/>
          <w:szCs w:val="24"/>
        </w:rPr>
        <w:tab/>
      </w:r>
      <w:r>
        <w:rPr>
          <w:rFonts w:ascii="Times New Roman" w:hAnsi="Times New Roman" w:cs="Times New Roman"/>
          <w:sz w:val="24"/>
          <w:szCs w:val="24"/>
        </w:rPr>
        <w:t xml:space="preserve">However, participants in the 12-hour deprivation </w:t>
      </w:r>
      <w:r w:rsidR="00183DF0">
        <w:rPr>
          <w:rFonts w:ascii="Times New Roman" w:hAnsi="Times New Roman" w:cs="Times New Roman"/>
          <w:sz w:val="24"/>
          <w:szCs w:val="24"/>
        </w:rPr>
        <w:t>group</w:t>
      </w:r>
      <w:r>
        <w:rPr>
          <w:rFonts w:ascii="Times New Roman" w:hAnsi="Times New Roman" w:cs="Times New Roman"/>
          <w:sz w:val="24"/>
          <w:szCs w:val="24"/>
        </w:rPr>
        <w:t xml:space="preserve"> spent significantly less time on the </w:t>
      </w:r>
      <w:r w:rsidR="00183DF0">
        <w:rPr>
          <w:rFonts w:ascii="Times New Roman" w:hAnsi="Times New Roman" w:cs="Times New Roman"/>
          <w:sz w:val="24"/>
          <w:szCs w:val="24"/>
        </w:rPr>
        <w:t>perseverance</w:t>
      </w:r>
      <w:r>
        <w:rPr>
          <w:rFonts w:ascii="Times New Roman" w:hAnsi="Times New Roman" w:cs="Times New Roman"/>
          <w:sz w:val="24"/>
          <w:szCs w:val="24"/>
        </w:rPr>
        <w:t xml:space="preserve"> task than those in both the contro</w:t>
      </w:r>
      <w:r w:rsidR="00183DF0">
        <w:rPr>
          <w:rFonts w:ascii="Times New Roman" w:hAnsi="Times New Roman" w:cs="Times New Roman"/>
          <w:sz w:val="24"/>
          <w:szCs w:val="24"/>
        </w:rPr>
        <w:t>l</w:t>
      </w:r>
      <w:r>
        <w:rPr>
          <w:rFonts w:ascii="Times New Roman" w:hAnsi="Times New Roman" w:cs="Times New Roman"/>
          <w:sz w:val="24"/>
          <w:szCs w:val="24"/>
        </w:rPr>
        <w:t xml:space="preserve"> and the 24-hour deprivation groups, suggesting that short-term</w:t>
      </w:r>
      <w:r w:rsidR="00183DF0">
        <w:rPr>
          <w:rFonts w:ascii="Times New Roman" w:hAnsi="Times New Roman" w:cs="Times New Roman"/>
          <w:sz w:val="24"/>
          <w:szCs w:val="24"/>
        </w:rPr>
        <w:t xml:space="preserve"> deprivation may affect some aspects of cognition and not others.</w:t>
      </w:r>
      <w:r w:rsidR="00903EBE">
        <w:rPr>
          <w:rFonts w:ascii="Times New Roman" w:hAnsi="Times New Roman" w:cs="Times New Roman"/>
          <w:sz w:val="24"/>
          <w:szCs w:val="24"/>
        </w:rPr>
        <w:t xml:space="preserve"> </w:t>
      </w:r>
      <w:r w:rsidR="00F776EE">
        <w:rPr>
          <w:rFonts w:ascii="Times New Roman" w:hAnsi="Times New Roman" w:cs="Times New Roman"/>
          <w:sz w:val="24"/>
          <w:szCs w:val="24"/>
        </w:rPr>
        <w:t>Many things interrupt people’s ability to focus on a task; distractions, headaches, noisy environments, and even psychological disorders. To some extent, peo</w:t>
      </w:r>
      <w:r w:rsidR="00350579">
        <w:rPr>
          <w:rFonts w:ascii="Times New Roman" w:hAnsi="Times New Roman" w:cs="Times New Roman"/>
          <w:sz w:val="24"/>
          <w:szCs w:val="24"/>
        </w:rPr>
        <w:t>p</w:t>
      </w:r>
      <w:r w:rsidR="00F776EE">
        <w:rPr>
          <w:rFonts w:ascii="Times New Roman" w:hAnsi="Times New Roman" w:cs="Times New Roman"/>
          <w:sz w:val="24"/>
          <w:szCs w:val="24"/>
        </w:rPr>
        <w:t>le can control the environmental factors that make it difficult to focus. However, what</w:t>
      </w:r>
      <w:r w:rsidR="00350579">
        <w:rPr>
          <w:rFonts w:ascii="Times New Roman" w:hAnsi="Times New Roman" w:cs="Times New Roman"/>
          <w:sz w:val="24"/>
          <w:szCs w:val="24"/>
        </w:rPr>
        <w:t xml:space="preserve"> </w:t>
      </w:r>
      <w:r w:rsidR="00F776EE">
        <w:rPr>
          <w:rFonts w:ascii="Times New Roman" w:hAnsi="Times New Roman" w:cs="Times New Roman"/>
          <w:sz w:val="24"/>
          <w:szCs w:val="24"/>
        </w:rPr>
        <w:t>about internal factors, such as an empty stomach</w:t>
      </w:r>
      <w:r w:rsidR="00350579">
        <w:rPr>
          <w:rFonts w:ascii="Times New Roman" w:hAnsi="Times New Roman" w:cs="Times New Roman"/>
          <w:sz w:val="24"/>
          <w:szCs w:val="24"/>
        </w:rPr>
        <w:t>. Can people increase their ability to focus simply by eating regularly?</w:t>
      </w:r>
    </w:p>
    <w:p w14:paraId="66706FB8" w14:textId="027ACF1F" w:rsidR="00A03C00" w:rsidRDefault="00A03C00" w:rsidP="00A03C00">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The Effects of Food Deprivation on Concentration and Perseverance</w:t>
      </w:r>
    </w:p>
    <w:p w14:paraId="119531D6" w14:textId="27D43BAE" w:rsidR="00903EBE" w:rsidRDefault="00A03C00" w:rsidP="00CE4A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theory that prompted research on how food intake affects the average person was the </w:t>
      </w:r>
      <w:r w:rsidR="00056406">
        <w:rPr>
          <w:rFonts w:ascii="Times New Roman" w:hAnsi="Times New Roman" w:cs="Times New Roman"/>
          <w:sz w:val="24"/>
          <w:szCs w:val="24"/>
        </w:rPr>
        <w:t>g</w:t>
      </w:r>
      <w:r>
        <w:rPr>
          <w:rFonts w:ascii="Times New Roman" w:hAnsi="Times New Roman" w:cs="Times New Roman"/>
          <w:sz w:val="24"/>
          <w:szCs w:val="24"/>
        </w:rPr>
        <w:t>lucos</w:t>
      </w:r>
      <w:r w:rsidR="00417447">
        <w:rPr>
          <w:rFonts w:ascii="Times New Roman" w:hAnsi="Times New Roman" w:cs="Times New Roman"/>
          <w:sz w:val="24"/>
          <w:szCs w:val="24"/>
        </w:rPr>
        <w:t>tatic theory. Several researchers in the 1940’s and 1950’s suggested that the brain regulates f</w:t>
      </w:r>
      <w:r w:rsidR="00056406">
        <w:rPr>
          <w:rFonts w:ascii="Times New Roman" w:hAnsi="Times New Roman" w:cs="Times New Roman"/>
          <w:sz w:val="24"/>
          <w:szCs w:val="24"/>
        </w:rPr>
        <w:t>o</w:t>
      </w:r>
      <w:r w:rsidR="00417447">
        <w:rPr>
          <w:rFonts w:ascii="Times New Roman" w:hAnsi="Times New Roman" w:cs="Times New Roman"/>
          <w:sz w:val="24"/>
          <w:szCs w:val="24"/>
        </w:rPr>
        <w:t>od intake in order to maintain a blood-glucose set point. The idea was that people become hungry when their blood glucose levels drop significantly below their set point and that they become satisfied after eating, when their blood-glucose levels return to that set</w:t>
      </w:r>
      <w:r w:rsidR="00401FAB">
        <w:rPr>
          <w:rFonts w:ascii="Times New Roman" w:hAnsi="Times New Roman" w:cs="Times New Roman"/>
          <w:sz w:val="24"/>
          <w:szCs w:val="24"/>
        </w:rPr>
        <w:t xml:space="preserve"> point. This theory seemed logical because glucose</w:t>
      </w:r>
      <w:r w:rsidR="00B11C77">
        <w:rPr>
          <w:rFonts w:ascii="Times New Roman" w:hAnsi="Times New Roman" w:cs="Times New Roman"/>
          <w:sz w:val="24"/>
          <w:szCs w:val="24"/>
        </w:rPr>
        <w:t xml:space="preserve"> is the brain’s primary</w:t>
      </w:r>
      <w:r w:rsidR="00CE4ADF">
        <w:rPr>
          <w:rFonts w:ascii="Times New Roman" w:hAnsi="Times New Roman" w:cs="Times New Roman"/>
          <w:sz w:val="24"/>
          <w:szCs w:val="24"/>
        </w:rPr>
        <w:t xml:space="preserve"> fuel </w:t>
      </w:r>
      <w:sdt>
        <w:sdtPr>
          <w:rPr>
            <w:rFonts w:ascii="Times New Roman" w:hAnsi="Times New Roman" w:cs="Times New Roman"/>
            <w:sz w:val="24"/>
            <w:szCs w:val="24"/>
          </w:rPr>
          <w:id w:val="1405424020"/>
          <w:citation/>
        </w:sdtPr>
        <w:sdtEndPr/>
        <w:sdtContent>
          <w:r w:rsidR="00CE4ADF">
            <w:rPr>
              <w:rFonts w:ascii="Times New Roman" w:hAnsi="Times New Roman" w:cs="Times New Roman"/>
              <w:sz w:val="24"/>
              <w:szCs w:val="24"/>
            </w:rPr>
            <w:fldChar w:fldCharType="begin"/>
          </w:r>
          <w:r w:rsidR="00CE4ADF">
            <w:rPr>
              <w:rFonts w:ascii="Times New Roman" w:hAnsi="Times New Roman" w:cs="Times New Roman"/>
              <w:sz w:val="24"/>
              <w:szCs w:val="24"/>
            </w:rPr>
            <w:instrText xml:space="preserve"> CITATION Pin00 \l 1033 </w:instrText>
          </w:r>
          <w:r w:rsidR="00CE4ADF">
            <w:rPr>
              <w:rFonts w:ascii="Times New Roman" w:hAnsi="Times New Roman" w:cs="Times New Roman"/>
              <w:sz w:val="24"/>
              <w:szCs w:val="24"/>
            </w:rPr>
            <w:fldChar w:fldCharType="separate"/>
          </w:r>
          <w:r w:rsidR="00CE4ADF" w:rsidRPr="00CE4ADF">
            <w:rPr>
              <w:rFonts w:ascii="Times New Roman" w:hAnsi="Times New Roman" w:cs="Times New Roman"/>
              <w:noProof/>
              <w:sz w:val="24"/>
              <w:szCs w:val="24"/>
            </w:rPr>
            <w:t>(Pinel, 2000)</w:t>
          </w:r>
          <w:r w:rsidR="00CE4ADF">
            <w:rPr>
              <w:rFonts w:ascii="Times New Roman" w:hAnsi="Times New Roman" w:cs="Times New Roman"/>
              <w:sz w:val="24"/>
              <w:szCs w:val="24"/>
            </w:rPr>
            <w:fldChar w:fldCharType="end"/>
          </w:r>
        </w:sdtContent>
      </w:sdt>
      <w:r w:rsidR="00CE4ADF">
        <w:rPr>
          <w:rFonts w:ascii="Times New Roman" w:hAnsi="Times New Roman" w:cs="Times New Roman"/>
          <w:sz w:val="24"/>
          <w:szCs w:val="24"/>
        </w:rPr>
        <w:t xml:space="preserve">. The earliest </w:t>
      </w:r>
      <w:r w:rsidR="00CE4ADF">
        <w:rPr>
          <w:rFonts w:ascii="Times New Roman" w:hAnsi="Times New Roman" w:cs="Times New Roman"/>
          <w:sz w:val="24"/>
          <w:szCs w:val="24"/>
        </w:rPr>
        <w:lastRenderedPageBreak/>
        <w:t>investigation</w:t>
      </w:r>
      <w:r w:rsidR="008D4DB8">
        <w:rPr>
          <w:rFonts w:ascii="Times New Roman" w:hAnsi="Times New Roman" w:cs="Times New Roman"/>
          <w:sz w:val="24"/>
          <w:szCs w:val="24"/>
        </w:rPr>
        <w:t xml:space="preserve"> of the general effects of food deprivation found that </w:t>
      </w:r>
      <w:r w:rsidR="00A47AC0">
        <w:rPr>
          <w:rFonts w:ascii="Times New Roman" w:hAnsi="Times New Roman" w:cs="Times New Roman"/>
          <w:sz w:val="24"/>
          <w:szCs w:val="24"/>
        </w:rPr>
        <w:t>long-term</w:t>
      </w:r>
      <w:r w:rsidR="00A53AD1">
        <w:rPr>
          <w:rFonts w:ascii="Times New Roman" w:hAnsi="Times New Roman" w:cs="Times New Roman"/>
          <w:sz w:val="24"/>
          <w:szCs w:val="24"/>
        </w:rPr>
        <w:t xml:space="preserve"> food deprivation was associated with sluggishness, depression, irritability, reduced heart rate, and inability to concentrate.</w:t>
      </w:r>
      <w:r w:rsidR="007767EE">
        <w:rPr>
          <w:rFonts w:ascii="Times New Roman" w:hAnsi="Times New Roman" w:cs="Times New Roman"/>
          <w:sz w:val="24"/>
          <w:szCs w:val="24"/>
        </w:rPr>
        <w:t xml:space="preserve"> This study helps understand how short-term food deprivation affects concentration on the perseverance with a difficult task. Specifically, participants deprived of food for 24 hours were expected to perform worse on a con</w:t>
      </w:r>
      <w:r w:rsidR="00380AE4">
        <w:rPr>
          <w:rFonts w:ascii="Times New Roman" w:hAnsi="Times New Roman" w:cs="Times New Roman"/>
          <w:sz w:val="24"/>
          <w:szCs w:val="24"/>
        </w:rPr>
        <w:t>centration test and a perseverance task than those deprived of food for 12 hours, who in turn were predicted to perform worse than those who were not deprived of food.</w:t>
      </w:r>
      <w:sdt>
        <w:sdtPr>
          <w:rPr>
            <w:rFonts w:ascii="Times New Roman" w:hAnsi="Times New Roman" w:cs="Times New Roman"/>
            <w:sz w:val="24"/>
            <w:szCs w:val="24"/>
          </w:rPr>
          <w:id w:val="1874114067"/>
          <w:citation/>
        </w:sdtPr>
        <w:sdtEndPr/>
        <w:sdtContent>
          <w:r w:rsidR="001E5E5C">
            <w:rPr>
              <w:rFonts w:ascii="Times New Roman" w:hAnsi="Times New Roman" w:cs="Times New Roman"/>
              <w:sz w:val="24"/>
              <w:szCs w:val="24"/>
            </w:rPr>
            <w:fldChar w:fldCharType="begin"/>
          </w:r>
          <w:r w:rsidR="001E5E5C">
            <w:rPr>
              <w:rFonts w:ascii="Times New Roman" w:hAnsi="Times New Roman" w:cs="Times New Roman"/>
              <w:sz w:val="24"/>
              <w:szCs w:val="24"/>
            </w:rPr>
            <w:instrText xml:space="preserve"> CITATION Hol16 \l 1033 </w:instrText>
          </w:r>
          <w:r w:rsidR="001E5E5C">
            <w:rPr>
              <w:rFonts w:ascii="Times New Roman" w:hAnsi="Times New Roman" w:cs="Times New Roman"/>
              <w:sz w:val="24"/>
              <w:szCs w:val="24"/>
            </w:rPr>
            <w:fldChar w:fldCharType="separate"/>
          </w:r>
          <w:r w:rsidR="001E5E5C">
            <w:rPr>
              <w:rFonts w:ascii="Times New Roman" w:hAnsi="Times New Roman" w:cs="Times New Roman"/>
              <w:noProof/>
              <w:sz w:val="24"/>
              <w:szCs w:val="24"/>
            </w:rPr>
            <w:t xml:space="preserve"> </w:t>
          </w:r>
          <w:r w:rsidR="001E5E5C" w:rsidRPr="001E5E5C">
            <w:rPr>
              <w:rFonts w:ascii="Times New Roman" w:hAnsi="Times New Roman" w:cs="Times New Roman"/>
              <w:noProof/>
              <w:sz w:val="24"/>
              <w:szCs w:val="24"/>
            </w:rPr>
            <w:t>(Holz, 2016)</w:t>
          </w:r>
          <w:r w:rsidR="001E5E5C">
            <w:rPr>
              <w:rFonts w:ascii="Times New Roman" w:hAnsi="Times New Roman" w:cs="Times New Roman"/>
              <w:sz w:val="24"/>
              <w:szCs w:val="24"/>
            </w:rPr>
            <w:fldChar w:fldCharType="end"/>
          </w:r>
        </w:sdtContent>
      </w:sdt>
    </w:p>
    <w:p w14:paraId="195FBC54" w14:textId="70D35713" w:rsidR="00F16A41" w:rsidRDefault="00F16A41" w:rsidP="00CE4A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the results of this study provide some fascinating insights into the cognitive and physiological effects of skipping meals. </w:t>
      </w:r>
      <w:r w:rsidR="000E21AA">
        <w:rPr>
          <w:rFonts w:ascii="Times New Roman" w:hAnsi="Times New Roman" w:cs="Times New Roman"/>
          <w:sz w:val="24"/>
          <w:szCs w:val="24"/>
        </w:rPr>
        <w:t>A</w:t>
      </w:r>
      <w:r>
        <w:rPr>
          <w:rFonts w:ascii="Times New Roman" w:hAnsi="Times New Roman" w:cs="Times New Roman"/>
          <w:sz w:val="24"/>
          <w:szCs w:val="24"/>
        </w:rPr>
        <w:t xml:space="preserve"> person may indeed be very capable of concentrating after not eating</w:t>
      </w:r>
      <w:r w:rsidR="000E21AA">
        <w:rPr>
          <w:rFonts w:ascii="Times New Roman" w:hAnsi="Times New Roman" w:cs="Times New Roman"/>
          <w:sz w:val="24"/>
          <w:szCs w:val="24"/>
        </w:rPr>
        <w:t xml:space="preserve"> for many hours. On the other hand, if one is taking a long test or working long hours at a tedious task that requires perseverance, one may </w:t>
      </w:r>
      <w:r w:rsidR="004B2B87">
        <w:rPr>
          <w:rFonts w:ascii="Times New Roman" w:hAnsi="Times New Roman" w:cs="Times New Roman"/>
          <w:sz w:val="24"/>
          <w:szCs w:val="24"/>
        </w:rPr>
        <w:t>be hindered by not eating for a short time, as shown by the 12-hour group’s performance on the perseverance task. Many people; students, working mothers, and those interested in fasting, have to deal with short-term food deprivation, intentional or uninte</w:t>
      </w:r>
      <w:r w:rsidR="00DE0033">
        <w:rPr>
          <w:rFonts w:ascii="Times New Roman" w:hAnsi="Times New Roman" w:cs="Times New Roman"/>
          <w:sz w:val="24"/>
          <w:szCs w:val="24"/>
        </w:rPr>
        <w:t>ntional. This research contributes to knowledge of the disadvantages of skipping meals.</w:t>
      </w:r>
    </w:p>
    <w:p w14:paraId="76C06FFB" w14:textId="4F94E898" w:rsidR="00056406" w:rsidRDefault="00056406" w:rsidP="00CE4ADF">
      <w:pPr>
        <w:spacing w:line="480" w:lineRule="auto"/>
        <w:rPr>
          <w:rFonts w:ascii="Times New Roman" w:hAnsi="Times New Roman" w:cs="Times New Roman"/>
          <w:sz w:val="24"/>
          <w:szCs w:val="24"/>
        </w:rPr>
      </w:pPr>
    </w:p>
    <w:p w14:paraId="1EABE52A" w14:textId="43833CD9" w:rsidR="00056406" w:rsidRDefault="00056406" w:rsidP="00CE4ADF">
      <w:pPr>
        <w:spacing w:line="480" w:lineRule="auto"/>
        <w:rPr>
          <w:rFonts w:ascii="Times New Roman" w:hAnsi="Times New Roman" w:cs="Times New Roman"/>
          <w:sz w:val="24"/>
          <w:szCs w:val="24"/>
        </w:rPr>
      </w:pPr>
    </w:p>
    <w:p w14:paraId="1CC21A57" w14:textId="5D793659" w:rsidR="00056406" w:rsidRDefault="00056406" w:rsidP="00CE4ADF">
      <w:pPr>
        <w:spacing w:line="480" w:lineRule="auto"/>
        <w:rPr>
          <w:rFonts w:ascii="Times New Roman" w:hAnsi="Times New Roman" w:cs="Times New Roman"/>
          <w:sz w:val="24"/>
          <w:szCs w:val="24"/>
        </w:rPr>
      </w:pPr>
    </w:p>
    <w:p w14:paraId="0E26DDC2" w14:textId="041624C3" w:rsidR="00056406" w:rsidRDefault="00056406" w:rsidP="00CE4ADF">
      <w:pPr>
        <w:spacing w:line="480" w:lineRule="auto"/>
        <w:rPr>
          <w:rFonts w:ascii="Times New Roman" w:hAnsi="Times New Roman" w:cs="Times New Roman"/>
          <w:sz w:val="24"/>
          <w:szCs w:val="24"/>
        </w:rPr>
      </w:pPr>
    </w:p>
    <w:p w14:paraId="608CF2AD" w14:textId="1A46CCA3" w:rsidR="00056406" w:rsidRDefault="00056406" w:rsidP="00CE4ADF">
      <w:pPr>
        <w:spacing w:line="480" w:lineRule="auto"/>
        <w:rPr>
          <w:rFonts w:ascii="Times New Roman" w:hAnsi="Times New Roman" w:cs="Times New Roman"/>
          <w:sz w:val="24"/>
          <w:szCs w:val="24"/>
        </w:rPr>
      </w:pPr>
    </w:p>
    <w:p w14:paraId="5F2E440B" w14:textId="0CF5430D" w:rsidR="00056406" w:rsidRDefault="00056406" w:rsidP="00CE4ADF">
      <w:pPr>
        <w:spacing w:line="480" w:lineRule="auto"/>
        <w:rPr>
          <w:rFonts w:ascii="Times New Roman" w:hAnsi="Times New Roman" w:cs="Times New Roman"/>
          <w:sz w:val="24"/>
          <w:szCs w:val="24"/>
        </w:rPr>
      </w:pPr>
    </w:p>
    <w:p w14:paraId="782C467C" w14:textId="14B1697E" w:rsidR="00056406" w:rsidRDefault="00056406" w:rsidP="000564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528C530" w14:textId="05C3A2D5" w:rsidR="00C73121" w:rsidRDefault="00C73121" w:rsidP="00C73121">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Holz, Ronald W., and Arun Anantharam. "Food deprivation induces presynaptic plasticity in the autonomic nervous system." </w:t>
      </w:r>
      <w:r>
        <w:rPr>
          <w:rFonts w:ascii="Arial" w:hAnsi="Arial" w:cs="Arial"/>
          <w:i/>
          <w:iCs/>
          <w:color w:val="222222"/>
          <w:sz w:val="20"/>
          <w:szCs w:val="20"/>
          <w:shd w:val="clear" w:color="auto" w:fill="FFFFFF"/>
        </w:rPr>
        <w:t>Proceedings of the National Academy of Sciences</w:t>
      </w:r>
      <w:r>
        <w:rPr>
          <w:rFonts w:ascii="Arial" w:hAnsi="Arial" w:cs="Arial"/>
          <w:color w:val="222222"/>
          <w:sz w:val="20"/>
          <w:szCs w:val="20"/>
          <w:shd w:val="clear" w:color="auto" w:fill="FFFFFF"/>
        </w:rPr>
        <w:t> 113.21 (2016): 5766-5767.</w:t>
      </w:r>
    </w:p>
    <w:p w14:paraId="382F9F44" w14:textId="61E962DC" w:rsidR="00C73121" w:rsidRDefault="00C73121" w:rsidP="00C73121">
      <w:pPr>
        <w:spacing w:line="480" w:lineRule="auto"/>
      </w:pPr>
      <w:r>
        <w:t>Pinel, J. P. (2000). Biopsychology (4th ed.). Boston: Allyn and Bacon.</w:t>
      </w:r>
    </w:p>
    <w:p w14:paraId="51827F04" w14:textId="4023AA83" w:rsidR="00C73121" w:rsidRPr="00C73121" w:rsidRDefault="00C73121" w:rsidP="00C73121">
      <w:pPr>
        <w:spacing w:line="480" w:lineRule="auto"/>
      </w:pPr>
      <w:r>
        <w:t>Smith, A. P., &amp; Kendrick, A. M. (1992). Meals and performance. In A. P. Smith &amp; D. M. Jones (Eds.), Handbook of human performance: Vol. 2,</w:t>
      </w:r>
    </w:p>
    <w:sectPr w:rsidR="00C73121" w:rsidRPr="00C731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A53032" w14:textId="77777777" w:rsidR="00961A8D" w:rsidRDefault="00961A8D" w:rsidP="00791B11">
      <w:pPr>
        <w:spacing w:after="0" w:line="240" w:lineRule="auto"/>
      </w:pPr>
      <w:r>
        <w:separator/>
      </w:r>
    </w:p>
  </w:endnote>
  <w:endnote w:type="continuationSeparator" w:id="0">
    <w:p w14:paraId="0D8D7AA0" w14:textId="77777777" w:rsidR="00961A8D" w:rsidRDefault="00961A8D" w:rsidP="00791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C99BCF" w14:textId="77777777" w:rsidR="00961A8D" w:rsidRDefault="00961A8D" w:rsidP="00791B11">
      <w:pPr>
        <w:spacing w:after="0" w:line="240" w:lineRule="auto"/>
      </w:pPr>
      <w:r>
        <w:separator/>
      </w:r>
    </w:p>
  </w:footnote>
  <w:footnote w:type="continuationSeparator" w:id="0">
    <w:p w14:paraId="799E1E1F" w14:textId="77777777" w:rsidR="00961A8D" w:rsidRDefault="00961A8D" w:rsidP="00791B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8768936"/>
      <w:docPartObj>
        <w:docPartGallery w:val="Page Numbers (Top of Page)"/>
        <w:docPartUnique/>
      </w:docPartObj>
    </w:sdtPr>
    <w:sdtEndPr>
      <w:rPr>
        <w:noProof/>
      </w:rPr>
    </w:sdtEndPr>
    <w:sdtContent>
      <w:p w14:paraId="2CCBE7E5" w14:textId="69FB1490" w:rsidR="00FD6601" w:rsidRDefault="00FD6601">
        <w:pPr>
          <w:pStyle w:val="Header"/>
          <w:jc w:val="right"/>
        </w:pPr>
        <w:r>
          <w:fldChar w:fldCharType="begin"/>
        </w:r>
        <w:r>
          <w:instrText xml:space="preserve"> PAGE   \* MERGEFORMAT </w:instrText>
        </w:r>
        <w:r>
          <w:fldChar w:fldCharType="separate"/>
        </w:r>
        <w:r w:rsidR="00A67CF5">
          <w:rPr>
            <w:noProof/>
          </w:rPr>
          <w:t>1</w:t>
        </w:r>
        <w:r>
          <w:rPr>
            <w:noProof/>
          </w:rPr>
          <w:fldChar w:fldCharType="end"/>
        </w:r>
      </w:p>
    </w:sdtContent>
  </w:sdt>
  <w:p w14:paraId="12D9292F" w14:textId="77777777" w:rsidR="00791B11" w:rsidRDefault="00791B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B11"/>
    <w:rsid w:val="00056406"/>
    <w:rsid w:val="000E21AA"/>
    <w:rsid w:val="00122A95"/>
    <w:rsid w:val="00183DF0"/>
    <w:rsid w:val="001E5E5C"/>
    <w:rsid w:val="002E7B93"/>
    <w:rsid w:val="00350579"/>
    <w:rsid w:val="00380AE4"/>
    <w:rsid w:val="00401FAB"/>
    <w:rsid w:val="00417447"/>
    <w:rsid w:val="00495139"/>
    <w:rsid w:val="004B2B87"/>
    <w:rsid w:val="00660F56"/>
    <w:rsid w:val="007767EE"/>
    <w:rsid w:val="00791B11"/>
    <w:rsid w:val="008D4DB8"/>
    <w:rsid w:val="0090167D"/>
    <w:rsid w:val="00903EBE"/>
    <w:rsid w:val="00961A8D"/>
    <w:rsid w:val="00992DBD"/>
    <w:rsid w:val="00A03C00"/>
    <w:rsid w:val="00A47AC0"/>
    <w:rsid w:val="00A53AD1"/>
    <w:rsid w:val="00A67CF5"/>
    <w:rsid w:val="00B11C77"/>
    <w:rsid w:val="00C73121"/>
    <w:rsid w:val="00CE4ADF"/>
    <w:rsid w:val="00D2766E"/>
    <w:rsid w:val="00DE0033"/>
    <w:rsid w:val="00F16A41"/>
    <w:rsid w:val="00F776EE"/>
    <w:rsid w:val="00FD6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ECFF3"/>
  <w15:chartTrackingRefBased/>
  <w15:docId w15:val="{2201EAF0-808A-4AD6-9516-3382383A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B11"/>
  </w:style>
  <w:style w:type="paragraph" w:styleId="Footer">
    <w:name w:val="footer"/>
    <w:basedOn w:val="Normal"/>
    <w:link w:val="FooterChar"/>
    <w:uiPriority w:val="99"/>
    <w:unhideWhenUsed/>
    <w:rsid w:val="00791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019909">
      <w:bodyDiv w:val="1"/>
      <w:marLeft w:val="0"/>
      <w:marRight w:val="0"/>
      <w:marTop w:val="0"/>
      <w:marBottom w:val="0"/>
      <w:divBdr>
        <w:top w:val="none" w:sz="0" w:space="0" w:color="auto"/>
        <w:left w:val="none" w:sz="0" w:space="0" w:color="auto"/>
        <w:bottom w:val="none" w:sz="0" w:space="0" w:color="auto"/>
        <w:right w:val="none" w:sz="0" w:space="0" w:color="auto"/>
      </w:divBdr>
    </w:div>
    <w:div w:id="203588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Pin00</b:Tag>
    <b:SourceType>JournalArticle</b:SourceType>
    <b:Guid>{C00F1E56-119C-4311-9459-50B4877F9E19}</b:Guid>
    <b:Author>
      <b:Author>
        <b:NameList>
          <b:Person>
            <b:Last>Pinel</b:Last>
          </b:Person>
        </b:NameList>
      </b:Author>
    </b:Author>
    <b:Year>2000</b:Year>
    <b:RefOrder>1</b:RefOrder>
  </b:Source>
  <b:Source>
    <b:Tag>Hol16</b:Tag>
    <b:SourceType>JournalArticle</b:SourceType>
    <b:Guid>{6038759C-8D38-4BF4-AC86-142732ACAD05}</b:Guid>
    <b:Author>
      <b:Author>
        <b:NameList>
          <b:Person>
            <b:Last>Holz</b:Last>
            <b:First>Ronald</b:First>
            <b:Middle>W., and Arun Anantharam</b:Middle>
          </b:Person>
        </b:NameList>
      </b:Author>
    </b:Author>
    <b:Title>Food deprivation induces presynaptic plasticity in the autonomic nervous system.</b:Title>
    <b:Year>2016</b:Year>
    <b:RefOrder>2</b:RefOrder>
  </b:Source>
</b:Sources>
</file>

<file path=customXml/itemProps1.xml><?xml version="1.0" encoding="utf-8"?>
<ds:datastoreItem xmlns:ds="http://schemas.openxmlformats.org/officeDocument/2006/customXml" ds:itemID="{91770B1B-9F53-49DD-A3F3-BF243318B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2019-11-17T15:46:00Z</dcterms:created>
  <dcterms:modified xsi:type="dcterms:W3CDTF">2019-11-17T15:46:00Z</dcterms:modified>
</cp:coreProperties>
</file>